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C878" w14:textId="77777777" w:rsidR="00925774" w:rsidRDefault="00F5483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133350" distB="295910" distL="114300" distR="309880" wp14:anchorId="5E5E8957" wp14:editId="6BC7B6C1">
            <wp:extent cx="3996690" cy="1781810"/>
            <wp:effectExtent l="114300" t="133350" r="309880" b="295910"/>
            <wp:docPr id="1" name="Рисунок 6" descr="Описание: горы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оры3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996000" cy="178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8479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37896C" w14:textId="77777777" w:rsidR="00925774" w:rsidRDefault="00925774">
      <w:pPr>
        <w:jc w:val="center"/>
        <w:rPr>
          <w:b/>
          <w:sz w:val="28"/>
          <w:szCs w:val="28"/>
        </w:rPr>
      </w:pPr>
    </w:p>
    <w:p w14:paraId="089FC862" w14:textId="77777777" w:rsidR="00925774" w:rsidRDefault="00925774">
      <w:pPr>
        <w:jc w:val="center"/>
        <w:rPr>
          <w:b/>
          <w:sz w:val="28"/>
          <w:szCs w:val="28"/>
        </w:rPr>
      </w:pPr>
    </w:p>
    <w:p w14:paraId="74D70A66" w14:textId="77777777" w:rsidR="00925774" w:rsidRDefault="00925774">
      <w:pPr>
        <w:jc w:val="center"/>
        <w:rPr>
          <w:b/>
          <w:sz w:val="36"/>
          <w:szCs w:val="36"/>
        </w:rPr>
      </w:pPr>
    </w:p>
    <w:p w14:paraId="78B6F119" w14:textId="77777777" w:rsidR="00925774" w:rsidRDefault="00925774">
      <w:pPr>
        <w:jc w:val="center"/>
        <w:rPr>
          <w:b/>
          <w:sz w:val="36"/>
          <w:szCs w:val="36"/>
        </w:rPr>
      </w:pPr>
    </w:p>
    <w:p w14:paraId="1D4C4AA3" w14:textId="77777777" w:rsidR="00925774" w:rsidRDefault="00925774">
      <w:pPr>
        <w:jc w:val="center"/>
        <w:rPr>
          <w:b/>
          <w:sz w:val="36"/>
          <w:szCs w:val="36"/>
        </w:rPr>
      </w:pPr>
    </w:p>
    <w:p w14:paraId="12D8211D" w14:textId="77777777" w:rsidR="00925774" w:rsidRDefault="00925774">
      <w:pPr>
        <w:jc w:val="center"/>
        <w:rPr>
          <w:b/>
          <w:sz w:val="36"/>
          <w:szCs w:val="36"/>
        </w:rPr>
      </w:pPr>
    </w:p>
    <w:p w14:paraId="087B1D78" w14:textId="77777777" w:rsidR="00925774" w:rsidRDefault="00F548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ОТЧЕТ</w:t>
      </w:r>
    </w:p>
    <w:p w14:paraId="76264674" w14:textId="77777777" w:rsidR="00925774" w:rsidRDefault="00925774">
      <w:pPr>
        <w:jc w:val="center"/>
        <w:rPr>
          <w:b/>
          <w:sz w:val="32"/>
          <w:szCs w:val="32"/>
        </w:rPr>
      </w:pPr>
    </w:p>
    <w:p w14:paraId="3569C362" w14:textId="77777777" w:rsidR="00925774" w:rsidRDefault="00925774">
      <w:pPr>
        <w:jc w:val="center"/>
        <w:rPr>
          <w:b/>
          <w:sz w:val="32"/>
          <w:szCs w:val="32"/>
        </w:rPr>
      </w:pPr>
    </w:p>
    <w:p w14:paraId="3579482A" w14:textId="77777777" w:rsidR="00925774" w:rsidRDefault="00F54831">
      <w:pPr>
        <w:jc w:val="center"/>
      </w:pPr>
      <w:r>
        <w:rPr>
          <w:sz w:val="28"/>
          <w:szCs w:val="28"/>
        </w:rPr>
        <w:t>о качестве условий оказания услуг</w:t>
      </w:r>
    </w:p>
    <w:p w14:paraId="08D24AA1" w14:textId="77777777" w:rsidR="00925774" w:rsidRDefault="00F54831">
      <w:pPr>
        <w:tabs>
          <w:tab w:val="left" w:pos="3544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МКУ «Тищенский сельский Дом культуры»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условий оказания услуг организациями культуры, в отношении которых проводится независимая оценка</w:t>
      </w:r>
    </w:p>
    <w:p w14:paraId="0685AE07" w14:textId="77777777" w:rsidR="00925774" w:rsidRDefault="00925774">
      <w:pPr>
        <w:spacing w:line="276" w:lineRule="auto"/>
        <w:jc w:val="center"/>
        <w:rPr>
          <w:sz w:val="28"/>
          <w:szCs w:val="28"/>
        </w:rPr>
      </w:pPr>
    </w:p>
    <w:p w14:paraId="5171E41C" w14:textId="77777777" w:rsidR="00925774" w:rsidRDefault="00925774">
      <w:pPr>
        <w:spacing w:line="276" w:lineRule="auto"/>
        <w:jc w:val="center"/>
        <w:rPr>
          <w:sz w:val="28"/>
          <w:szCs w:val="28"/>
        </w:rPr>
      </w:pPr>
    </w:p>
    <w:p w14:paraId="1948EE66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DEE8BEF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rStyle w:val="5"/>
          <w:sz w:val="28"/>
          <w:szCs w:val="28"/>
        </w:rPr>
      </w:pPr>
    </w:p>
    <w:p w14:paraId="637B113C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03511A98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975ECFE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C11B9D3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6F128D32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35BFA430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40A8401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7276E789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69D766B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71D4C641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0AC68E39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7E4AD5AE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7F45E2A" w14:textId="77777777" w:rsidR="00925774" w:rsidRDefault="00925774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4CD1EBE" w14:textId="77777777" w:rsidR="00925774" w:rsidRDefault="00F54831">
      <w:pPr>
        <w:widowControl w:val="0"/>
        <w:shd w:val="clear" w:color="auto" w:fill="FFFFFF"/>
        <w:tabs>
          <w:tab w:val="left" w:pos="0"/>
        </w:tabs>
        <w:jc w:val="center"/>
        <w:rPr>
          <w:bCs/>
          <w:spacing w:val="-7"/>
          <w:sz w:val="28"/>
          <w:szCs w:val="28"/>
        </w:rPr>
      </w:pPr>
      <w:r>
        <w:rPr>
          <w:rStyle w:val="5"/>
          <w:sz w:val="28"/>
          <w:szCs w:val="28"/>
        </w:rPr>
        <w:t>г. Ставрополь</w:t>
      </w:r>
      <w:r>
        <w:rPr>
          <w:bCs/>
          <w:spacing w:val="-7"/>
          <w:sz w:val="28"/>
          <w:szCs w:val="28"/>
        </w:rPr>
        <w:t>, 2022</w:t>
      </w:r>
      <w:r>
        <w:br w:type="page"/>
      </w:r>
    </w:p>
    <w:p w14:paraId="1C211C51" w14:textId="77777777" w:rsidR="00925774" w:rsidRDefault="00F54831">
      <w:pPr>
        <w:spacing w:line="259" w:lineRule="auto"/>
        <w:jc w:val="center"/>
      </w:pPr>
      <w:r>
        <w:rPr>
          <w:sz w:val="28"/>
          <w:szCs w:val="28"/>
        </w:rPr>
        <w:lastRenderedPageBreak/>
        <w:t>Аналитический отчет</w:t>
      </w:r>
    </w:p>
    <w:p w14:paraId="3D48193B" w14:textId="77777777" w:rsidR="00925774" w:rsidRDefault="00F54831">
      <w:pPr>
        <w:jc w:val="center"/>
      </w:pPr>
      <w:r>
        <w:rPr>
          <w:sz w:val="28"/>
          <w:szCs w:val="28"/>
        </w:rPr>
        <w:t>о качестве условий оказания услуг</w:t>
      </w:r>
    </w:p>
    <w:p w14:paraId="11FCC30E" w14:textId="77777777" w:rsidR="00925774" w:rsidRDefault="00F54831">
      <w:pPr>
        <w:tabs>
          <w:tab w:val="left" w:pos="3544"/>
        </w:tabs>
        <w:jc w:val="center"/>
      </w:pPr>
      <w:r>
        <w:rPr>
          <w:color w:val="000000"/>
          <w:sz w:val="28"/>
          <w:szCs w:val="28"/>
        </w:rPr>
        <w:t>МКУ «Тищенский сельский Дом культуры»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условий оказания услуг организациями культуры, в отношении которых проводится независимая оценка</w:t>
      </w:r>
    </w:p>
    <w:p w14:paraId="28D3A2AA" w14:textId="77777777" w:rsidR="00925774" w:rsidRDefault="00925774">
      <w:pPr>
        <w:tabs>
          <w:tab w:val="left" w:pos="5510"/>
        </w:tabs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Y="149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925774" w14:paraId="62342AFA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A141E89" w14:textId="77777777" w:rsidR="00925774" w:rsidRDefault="00F54831">
            <w:pPr>
              <w:spacing w:line="276" w:lineRule="auto"/>
            </w:pPr>
            <w:r>
              <w:rPr>
                <w:rStyle w:val="5"/>
                <w:sz w:val="28"/>
                <w:szCs w:val="28"/>
              </w:rPr>
              <w:t xml:space="preserve"> </w:t>
            </w:r>
            <w:r>
              <w:rPr>
                <w:rStyle w:val="5"/>
              </w:rPr>
              <w:t xml:space="preserve">            </w:t>
            </w:r>
            <w:r>
              <w:rPr>
                <w:rStyle w:val="5"/>
                <w:sz w:val="28"/>
                <w:szCs w:val="28"/>
              </w:rPr>
              <w:t>г. С</w:t>
            </w:r>
            <w:r>
              <w:rPr>
                <w:rStyle w:val="5"/>
              </w:rPr>
              <w:t>таврополь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0E4523F" w14:textId="77777777" w:rsidR="00925774" w:rsidRDefault="00F54831">
            <w:pPr>
              <w:spacing w:line="276" w:lineRule="auto"/>
              <w:ind w:left="360"/>
            </w:pPr>
            <w:r>
              <w:rPr>
                <w:sz w:val="28"/>
                <w:szCs w:val="28"/>
              </w:rPr>
              <w:t xml:space="preserve">                        08 сентября 2022 г.</w:t>
            </w:r>
          </w:p>
        </w:tc>
      </w:tr>
    </w:tbl>
    <w:p w14:paraId="0661AED6" w14:textId="77777777" w:rsidR="00925774" w:rsidRDefault="00F54831">
      <w:pPr>
        <w:widowControl w:val="0"/>
        <w:shd w:val="clear" w:color="auto" w:fill="FFFFFF"/>
        <w:tabs>
          <w:tab w:val="left" w:pos="0"/>
        </w:tabs>
        <w:jc w:val="both"/>
      </w:pPr>
      <w:r>
        <w:rPr>
          <w:sz w:val="28"/>
          <w:szCs w:val="28"/>
        </w:rPr>
        <w:tab/>
      </w:r>
    </w:p>
    <w:p w14:paraId="6C7CFE70" w14:textId="77777777" w:rsidR="00925774" w:rsidRDefault="00F54831">
      <w:pPr>
        <w:widowControl w:val="0"/>
        <w:shd w:val="clear" w:color="auto" w:fill="FFFFFF"/>
        <w:tabs>
          <w:tab w:val="left" w:pos="0"/>
        </w:tabs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ab/>
        <w:t xml:space="preserve">Сбор и обобщение информации о качестве условий оказания услуг             </w:t>
      </w:r>
      <w:r>
        <w:rPr>
          <w:color w:val="000000"/>
          <w:sz w:val="28"/>
          <w:szCs w:val="28"/>
        </w:rPr>
        <w:t>МКУ «Тищенский сельский Дом культуры»</w:t>
      </w:r>
      <w:r>
        <w:rPr>
          <w:sz w:val="28"/>
          <w:szCs w:val="28"/>
        </w:rPr>
        <w:t xml:space="preserve"> (далее – организация культуры)  осуществлено организацией-оператором – АНО «Северо-Кавказский центр профессионально-общественной аккредитации»,  во исполнение Муниципального контракта от  12 июля 2022г. № 154Н на оказание услуг по сбору и обобщению информации о качестве условий оказания услуг организациями культуры Изобильненского городского округа Ставропольского края , в отношении которых проводится независимая оценка в 2022 году, согласно показателям, утвержденным техническим заданием.</w:t>
      </w:r>
      <w:r>
        <w:rPr>
          <w:bCs/>
          <w:spacing w:val="-7"/>
          <w:sz w:val="28"/>
          <w:szCs w:val="28"/>
        </w:rPr>
        <w:t xml:space="preserve"> </w:t>
      </w:r>
    </w:p>
    <w:p w14:paraId="1239FF75" w14:textId="77777777" w:rsidR="00925774" w:rsidRDefault="00F5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осуществлены в соответствии с Правилами сбора и обобщения информации о качестве условий оказания услуг организациями культуры,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Приказом </w:t>
      </w:r>
      <w:r>
        <w:rPr>
          <w:bCs/>
          <w:spacing w:val="-7"/>
          <w:sz w:val="28"/>
          <w:szCs w:val="28"/>
        </w:rPr>
        <w:t xml:space="preserve">Минкультуры России от 27.04.2018   № 599 «Об утверждении показателей, характеризующих общие критерии оценки качества условий оказания услуг организациями культуры», а также Методическими рекомендациями по организации и проведению независимой оценки качества условий оказания услуг организациями в сфере культуры, утвержденными Распоряжением Министерства культуры Российской Федерации от 18.12.2020г. № Р-1681 </w:t>
      </w:r>
      <w:r>
        <w:rPr>
          <w:sz w:val="28"/>
          <w:szCs w:val="28"/>
        </w:rPr>
        <w:t xml:space="preserve">(далее, соответственно – Правила, Порядок). </w:t>
      </w:r>
    </w:p>
    <w:p w14:paraId="5609ED37" w14:textId="77777777" w:rsidR="00925774" w:rsidRDefault="00925774">
      <w:pPr>
        <w:ind w:firstLine="709"/>
        <w:jc w:val="both"/>
        <w:rPr>
          <w:sz w:val="28"/>
          <w:szCs w:val="28"/>
        </w:rPr>
      </w:pPr>
    </w:p>
    <w:p w14:paraId="55DE3C48" w14:textId="77777777" w:rsidR="00925774" w:rsidRDefault="00F548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исходные сведения об организации:</w:t>
      </w:r>
    </w:p>
    <w:p w14:paraId="49BB862C" w14:textId="77777777" w:rsidR="00925774" w:rsidRDefault="00F54831">
      <w:pPr>
        <w:pStyle w:val="ae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</w:pPr>
      <w:r>
        <w:rPr>
          <w:b/>
          <w:sz w:val="28"/>
          <w:szCs w:val="28"/>
        </w:rPr>
        <w:t>Наименование организации: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МКУ «Тищенский сельский Дом культуры»</w:t>
      </w:r>
    </w:p>
    <w:p w14:paraId="3A173507" w14:textId="77777777" w:rsidR="00925774" w:rsidRDefault="00F54831">
      <w:pPr>
        <w:pStyle w:val="ae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</w:pPr>
      <w:r>
        <w:rPr>
          <w:b/>
          <w:sz w:val="28"/>
          <w:szCs w:val="28"/>
        </w:rPr>
        <w:lastRenderedPageBreak/>
        <w:t xml:space="preserve">Юридический адрес организации: </w:t>
      </w:r>
      <w:r>
        <w:rPr>
          <w:rFonts w:eastAsiaTheme="minorEastAsia"/>
          <w:sz w:val="28"/>
          <w:szCs w:val="28"/>
        </w:rPr>
        <w:t>356105, Изобильненский район, с. Тищенское, ул. Мира, 14</w:t>
      </w:r>
    </w:p>
    <w:p w14:paraId="275A2EBA" w14:textId="77777777" w:rsidR="00925774" w:rsidRDefault="00F54831">
      <w:pPr>
        <w:pStyle w:val="ae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</w:pPr>
      <w:r>
        <w:rPr>
          <w:b/>
          <w:sz w:val="28"/>
          <w:szCs w:val="28"/>
        </w:rPr>
        <w:t>Адрес официального сайта организации в информационной телекоммуникационной сети «Интернет» (далее – официальный сайт в сети «Интернет</w:t>
      </w:r>
      <w:r>
        <w:rPr>
          <w:sz w:val="28"/>
          <w:szCs w:val="28"/>
        </w:rPr>
        <w:t xml:space="preserve">»): </w:t>
      </w:r>
      <w:r>
        <w:rPr>
          <w:rFonts w:eastAsiaTheme="minorEastAsia"/>
          <w:bCs/>
          <w:sz w:val="28"/>
          <w:szCs w:val="28"/>
        </w:rPr>
        <w:t>https://www.kultura-</w:t>
      </w:r>
    </w:p>
    <w:p w14:paraId="49BF5F99" w14:textId="77777777" w:rsidR="00925774" w:rsidRDefault="00F54831">
      <w:pPr>
        <w:pStyle w:val="ae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</w:pPr>
      <w:r>
        <w:rPr>
          <w:rFonts w:eastAsiaTheme="minorEastAsia"/>
          <w:bCs/>
          <w:sz w:val="28"/>
          <w:szCs w:val="28"/>
        </w:rPr>
        <w:t>tishenskoe.ru/</w:t>
      </w:r>
    </w:p>
    <w:p w14:paraId="4DC35C1B" w14:textId="77777777" w:rsidR="00925774" w:rsidRDefault="00F54831">
      <w:pPr>
        <w:pStyle w:val="ae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</w:pPr>
      <w:r>
        <w:rPr>
          <w:b/>
          <w:sz w:val="28"/>
          <w:szCs w:val="28"/>
        </w:rPr>
        <w:t>Период проведения дистанционного этапа сбора информации</w:t>
      </w:r>
      <w:r>
        <w:rPr>
          <w:sz w:val="28"/>
          <w:szCs w:val="28"/>
        </w:rPr>
        <w:t xml:space="preserve">: с 12.07.2022 по 01.09.2022гг. </w:t>
      </w:r>
    </w:p>
    <w:p w14:paraId="5AB14462" w14:textId="77777777" w:rsidR="00925774" w:rsidRDefault="00F54831">
      <w:pPr>
        <w:pStyle w:val="ae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Дата мониторинга официального сайта организации в сети «Интернет»</w:t>
      </w:r>
      <w:r>
        <w:rPr>
          <w:sz w:val="28"/>
          <w:szCs w:val="28"/>
        </w:rPr>
        <w:t>: 24.08.2022г.</w:t>
      </w:r>
    </w:p>
    <w:p w14:paraId="5D9955DE" w14:textId="77777777" w:rsidR="00925774" w:rsidRDefault="00F54831">
      <w:pPr>
        <w:pStyle w:val="ae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Дата визита представителей организации-оператора в организацию культуры</w:t>
      </w:r>
      <w:r>
        <w:rPr>
          <w:sz w:val="28"/>
          <w:szCs w:val="28"/>
        </w:rPr>
        <w:t>: 24.08.2022г.</w:t>
      </w:r>
    </w:p>
    <w:p w14:paraId="5E7FFF90" w14:textId="77777777" w:rsidR="00925774" w:rsidRDefault="00F54831">
      <w:pPr>
        <w:pStyle w:val="ae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Численность респондентов в организации культуры</w:t>
      </w:r>
      <w:r>
        <w:rPr>
          <w:sz w:val="28"/>
          <w:szCs w:val="28"/>
        </w:rPr>
        <w:t>: 77</w:t>
      </w:r>
    </w:p>
    <w:p w14:paraId="6F7C0FF3" w14:textId="77777777" w:rsidR="00925774" w:rsidRDefault="00925774">
      <w:pPr>
        <w:pStyle w:val="ae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14:paraId="057CD8EA" w14:textId="77777777" w:rsidR="00925774" w:rsidRDefault="00F54831">
      <w:pPr>
        <w:ind w:firstLine="709"/>
        <w:jc w:val="both"/>
      </w:pPr>
      <w:r>
        <w:rPr>
          <w:b/>
          <w:sz w:val="28"/>
          <w:szCs w:val="28"/>
          <w:u w:val="single"/>
        </w:rPr>
        <w:t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оказания услуг </w:t>
      </w:r>
      <w:r>
        <w:rPr>
          <w:color w:val="000000"/>
          <w:sz w:val="28"/>
          <w:szCs w:val="28"/>
        </w:rPr>
        <w:t>МКУ «Тищенский сельский Дом культуры»</w:t>
      </w:r>
    </w:p>
    <w:p w14:paraId="219A3165" w14:textId="77777777" w:rsidR="00925774" w:rsidRDefault="0092577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676"/>
        <w:gridCol w:w="7100"/>
      </w:tblGrid>
      <w:tr w:rsidR="00925774" w14:paraId="3F86EC03" w14:textId="77777777">
        <w:tc>
          <w:tcPr>
            <w:tcW w:w="2676" w:type="dxa"/>
            <w:shd w:val="clear" w:color="auto" w:fill="DEEAF6" w:themeFill="accent1" w:themeFillTint="33"/>
          </w:tcPr>
          <w:p w14:paraId="3365C5DC" w14:textId="77777777" w:rsidR="00925774" w:rsidRDefault="00F54831">
            <w:pPr>
              <w:jc w:val="both"/>
            </w:pPr>
            <w:r>
              <w:t>Критерий 1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62645E6A" w14:textId="77777777" w:rsidR="00925774" w:rsidRDefault="00F54831">
            <w:pPr>
              <w:jc w:val="center"/>
            </w:pPr>
            <w:r>
              <w:t>Открытость и доступность информации об организации культуры</w:t>
            </w:r>
          </w:p>
        </w:tc>
      </w:tr>
      <w:tr w:rsidR="00925774" w14:paraId="738CA8FD" w14:textId="77777777">
        <w:tc>
          <w:tcPr>
            <w:tcW w:w="2676" w:type="dxa"/>
            <w:vMerge w:val="restart"/>
            <w:shd w:val="clear" w:color="auto" w:fill="auto"/>
          </w:tcPr>
          <w:p w14:paraId="36191152" w14:textId="77777777" w:rsidR="00925774" w:rsidRDefault="00F54831">
            <w:pPr>
              <w:jc w:val="both"/>
            </w:pPr>
            <w:r>
              <w:t>Показатель 1.2.</w:t>
            </w:r>
          </w:p>
        </w:tc>
        <w:tc>
          <w:tcPr>
            <w:tcW w:w="7099" w:type="dxa"/>
            <w:shd w:val="clear" w:color="auto" w:fill="auto"/>
          </w:tcPr>
          <w:p w14:paraId="7ABA55A5" w14:textId="77777777" w:rsidR="00925774" w:rsidRDefault="00F54831">
            <w:pPr>
              <w:pStyle w:val="ae"/>
              <w:ind w:left="69"/>
              <w:jc w:val="both"/>
            </w:pPr>
            <w: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14:paraId="5974997E" w14:textId="77777777" w:rsidR="00925774" w:rsidRDefault="00F54831">
            <w:pPr>
              <w:pStyle w:val="ae"/>
              <w:ind w:left="69"/>
              <w:jc w:val="both"/>
            </w:pPr>
            <w:r>
              <w:t>- телефона,</w:t>
            </w:r>
          </w:p>
          <w:p w14:paraId="69316F08" w14:textId="77777777" w:rsidR="00925774" w:rsidRDefault="00F54831">
            <w:pPr>
              <w:pStyle w:val="ae"/>
              <w:ind w:left="69"/>
              <w:jc w:val="both"/>
            </w:pPr>
            <w:r>
              <w:t>- электронной почты,</w:t>
            </w:r>
          </w:p>
          <w:p w14:paraId="287D7434" w14:textId="77777777" w:rsidR="00925774" w:rsidRDefault="00F54831">
            <w:pPr>
              <w:pStyle w:val="ae"/>
              <w:ind w:left="69"/>
              <w:jc w:val="both"/>
            </w:pPr>
            <w: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14:paraId="6FDFB0C0" w14:textId="77777777" w:rsidR="00925774" w:rsidRDefault="00F54831">
            <w:pPr>
              <w:pStyle w:val="ae"/>
              <w:ind w:left="69"/>
              <w:jc w:val="both"/>
            </w:pPr>
            <w: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925774" w14:paraId="5DD3A9C8" w14:textId="77777777">
        <w:tc>
          <w:tcPr>
            <w:tcW w:w="2676" w:type="dxa"/>
            <w:vMerge/>
            <w:shd w:val="clear" w:color="auto" w:fill="auto"/>
          </w:tcPr>
          <w:p w14:paraId="763BD9D5" w14:textId="77777777" w:rsidR="00925774" w:rsidRDefault="00925774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7120BE2E" w14:textId="77777777" w:rsidR="00925774" w:rsidRDefault="00F54831" w:rsidP="00F54831">
            <w:pPr>
              <w:pStyle w:val="ae"/>
              <w:numPr>
                <w:ilvl w:val="0"/>
                <w:numId w:val="3"/>
              </w:numPr>
              <w:ind w:left="450" w:hanging="412"/>
              <w:jc w:val="both"/>
            </w:pPr>
            <w:r>
              <w:t>Обеспечить наличие и работоспособность раздела «Часто задаваемые вопросы» на сайте организации.</w:t>
            </w:r>
          </w:p>
          <w:p w14:paraId="102CEA04" w14:textId="77777777" w:rsidR="00925774" w:rsidRDefault="00F54831" w:rsidP="00F54831">
            <w:pPr>
              <w:pStyle w:val="ae"/>
              <w:numPr>
                <w:ilvl w:val="0"/>
                <w:numId w:val="3"/>
              </w:numPr>
              <w:ind w:left="450" w:hanging="412"/>
              <w:jc w:val="both"/>
            </w:pPr>
            <w:r>
              <w:t>Обеспечить наличие и работоспособность формы для подачи электронных обращений/жалобы/предложений на сайте организации посредством организации доставки сообщений на специально предусмотренную электронную почту организации.</w:t>
            </w:r>
          </w:p>
          <w:p w14:paraId="261A664F" w14:textId="77777777" w:rsidR="00925774" w:rsidRDefault="00F54831" w:rsidP="00F54831">
            <w:pPr>
              <w:pStyle w:val="ae"/>
              <w:numPr>
                <w:ilvl w:val="0"/>
                <w:numId w:val="3"/>
              </w:numPr>
              <w:ind w:left="450" w:hanging="412"/>
              <w:jc w:val="both"/>
            </w:pPr>
            <w:r>
              <w:t>Обеспечить наличие технической возможности выражения получателей услуг мнения о качестве условий оказания услуг посредством размещения на сайте организации анкеты для опроса граждан или гиперссылки на нее.</w:t>
            </w:r>
          </w:p>
        </w:tc>
      </w:tr>
      <w:tr w:rsidR="00925774" w14:paraId="0A56FC22" w14:textId="77777777">
        <w:tc>
          <w:tcPr>
            <w:tcW w:w="2676" w:type="dxa"/>
            <w:vMerge w:val="restart"/>
            <w:shd w:val="clear" w:color="auto" w:fill="auto"/>
          </w:tcPr>
          <w:p w14:paraId="1C2549A1" w14:textId="77777777" w:rsidR="00925774" w:rsidRDefault="00F54831">
            <w:pPr>
              <w:jc w:val="both"/>
            </w:pPr>
            <w:r>
              <w:t>Показатель 1.3.</w:t>
            </w:r>
          </w:p>
        </w:tc>
        <w:tc>
          <w:tcPr>
            <w:tcW w:w="7099" w:type="dxa"/>
            <w:shd w:val="clear" w:color="auto" w:fill="auto"/>
          </w:tcPr>
          <w:p w14:paraId="5D867583" w14:textId="77777777" w:rsidR="00925774" w:rsidRDefault="00F54831">
            <w:pPr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</w:tr>
      <w:tr w:rsidR="00925774" w14:paraId="3C3E0E5F" w14:textId="77777777">
        <w:tc>
          <w:tcPr>
            <w:tcW w:w="2676" w:type="dxa"/>
            <w:vMerge/>
            <w:shd w:val="clear" w:color="auto" w:fill="auto"/>
          </w:tcPr>
          <w:p w14:paraId="46135A26" w14:textId="77777777" w:rsidR="00925774" w:rsidRDefault="00925774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6F764DAD" w14:textId="77777777" w:rsidR="00925774" w:rsidRDefault="00F54831">
            <w:pPr>
              <w:jc w:val="both"/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288ED8F0" w14:textId="77777777" w:rsidR="00925774" w:rsidRDefault="00F54831" w:rsidP="00F54831">
            <w:pPr>
              <w:pStyle w:val="ae"/>
              <w:numPr>
                <w:ilvl w:val="3"/>
                <w:numId w:val="1"/>
              </w:numPr>
              <w:tabs>
                <w:tab w:val="clear" w:pos="0"/>
                <w:tab w:val="num" w:pos="450"/>
              </w:tabs>
              <w:ind w:left="450" w:hanging="425"/>
              <w:jc w:val="both"/>
            </w:pPr>
            <w:r>
              <w:t xml:space="preserve">Довести до уровня 100% долю получателей услуг, удовлетворенных открытостью, полнотой и доступностью </w:t>
            </w:r>
            <w:r>
              <w:lastRenderedPageBreak/>
              <w:t>информации о деятельности организации.</w:t>
            </w:r>
          </w:p>
          <w:p w14:paraId="0B254908" w14:textId="77777777" w:rsidR="00925774" w:rsidRDefault="00F54831" w:rsidP="00F54831">
            <w:pPr>
              <w:pStyle w:val="ae"/>
              <w:numPr>
                <w:ilvl w:val="3"/>
                <w:numId w:val="1"/>
              </w:numPr>
              <w:tabs>
                <w:tab w:val="clear" w:pos="0"/>
                <w:tab w:val="num" w:pos="450"/>
              </w:tabs>
              <w:ind w:left="450" w:hanging="425"/>
              <w:jc w:val="both"/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организации культуры.</w:t>
            </w:r>
          </w:p>
          <w:p w14:paraId="306F6337" w14:textId="77777777" w:rsidR="00925774" w:rsidRDefault="00F54831" w:rsidP="00F54831">
            <w:pPr>
              <w:pStyle w:val="ae"/>
              <w:numPr>
                <w:ilvl w:val="3"/>
                <w:numId w:val="1"/>
              </w:numPr>
              <w:tabs>
                <w:tab w:val="clear" w:pos="0"/>
                <w:tab w:val="num" w:pos="450"/>
              </w:tabs>
              <w:ind w:left="450" w:hanging="425"/>
              <w:jc w:val="both"/>
            </w:pPr>
            <w:r>
              <w:t>Проводить с получателями услуг мероприятия по популяризации сайта организации культуры и дистанционных форм взаимодействия с получателями услуг.</w:t>
            </w:r>
          </w:p>
        </w:tc>
      </w:tr>
      <w:tr w:rsidR="00925774" w14:paraId="7A43B47B" w14:textId="77777777">
        <w:tc>
          <w:tcPr>
            <w:tcW w:w="2676" w:type="dxa"/>
            <w:shd w:val="clear" w:color="auto" w:fill="DEEAF6" w:themeFill="accent1" w:themeFillTint="33"/>
          </w:tcPr>
          <w:p w14:paraId="33BA20BD" w14:textId="77777777" w:rsidR="00925774" w:rsidRDefault="00F54831">
            <w:pPr>
              <w:jc w:val="center"/>
            </w:pPr>
            <w:r>
              <w:lastRenderedPageBreak/>
              <w:t>Критерий 2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0686BE6B" w14:textId="77777777" w:rsidR="00925774" w:rsidRDefault="00F54831">
            <w:pPr>
              <w:jc w:val="center"/>
            </w:pPr>
            <w:r>
              <w:t>Комфортность условий предоставления услуг</w:t>
            </w:r>
          </w:p>
        </w:tc>
      </w:tr>
      <w:tr w:rsidR="00925774" w14:paraId="228D79B3" w14:textId="77777777">
        <w:tc>
          <w:tcPr>
            <w:tcW w:w="2676" w:type="dxa"/>
            <w:vMerge w:val="restart"/>
            <w:shd w:val="clear" w:color="auto" w:fill="auto"/>
          </w:tcPr>
          <w:p w14:paraId="126FD9EF" w14:textId="77777777" w:rsidR="00925774" w:rsidRDefault="00F54831">
            <w:pPr>
              <w:jc w:val="both"/>
            </w:pPr>
            <w:r>
              <w:t>Показатель 2.3.</w:t>
            </w:r>
          </w:p>
        </w:tc>
        <w:tc>
          <w:tcPr>
            <w:tcW w:w="7099" w:type="dxa"/>
            <w:shd w:val="clear" w:color="auto" w:fill="auto"/>
          </w:tcPr>
          <w:p w14:paraId="6808540E" w14:textId="77777777" w:rsidR="00925774" w:rsidRDefault="00F54831">
            <w:pPr>
              <w:jc w:val="both"/>
            </w:pPr>
            <w:r>
              <w:t>Доля получателей услуг, удовлетворенных комфортностью условий предоставления услуг</w:t>
            </w:r>
          </w:p>
        </w:tc>
      </w:tr>
      <w:tr w:rsidR="00925774" w14:paraId="1C021001" w14:textId="77777777">
        <w:tc>
          <w:tcPr>
            <w:tcW w:w="2676" w:type="dxa"/>
            <w:vMerge/>
            <w:shd w:val="clear" w:color="auto" w:fill="auto"/>
          </w:tcPr>
          <w:p w14:paraId="28828EFC" w14:textId="77777777" w:rsidR="00925774" w:rsidRDefault="00925774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33B433E9" w14:textId="77777777" w:rsidR="00925774" w:rsidRDefault="00F54831">
            <w:pPr>
              <w:jc w:val="both"/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23384DBC" w14:textId="77777777" w:rsidR="00925774" w:rsidRDefault="00F54831" w:rsidP="00F54831">
            <w:pPr>
              <w:ind w:left="450" w:hanging="425"/>
              <w:jc w:val="both"/>
            </w:pPr>
            <w:r>
              <w:t>1. Рассмотреть возможность оборудования помещений кондиционерами.</w:t>
            </w:r>
          </w:p>
          <w:p w14:paraId="420AE1D7" w14:textId="77777777" w:rsidR="00925774" w:rsidRDefault="00F54831" w:rsidP="00F54831">
            <w:pPr>
              <w:ind w:left="450" w:hanging="425"/>
              <w:jc w:val="both"/>
            </w:pPr>
            <w:r>
              <w:t>2. Обеспечить постоянное наличие питьевой воды в зонах ожидания/ в фойе.</w:t>
            </w:r>
          </w:p>
          <w:p w14:paraId="3686C5F4" w14:textId="77777777" w:rsidR="00925774" w:rsidRDefault="00F54831" w:rsidP="00F54831">
            <w:pPr>
              <w:ind w:left="450" w:hanging="425"/>
              <w:jc w:val="both"/>
            </w:pPr>
            <w:r>
              <w:t>3. Обеспечить на постоянной основе доступ посетителей к санузлу, находящегося в здании организации.</w:t>
            </w:r>
          </w:p>
          <w:p w14:paraId="6B64FB1A" w14:textId="77777777" w:rsidR="00925774" w:rsidRDefault="00F54831" w:rsidP="00F54831">
            <w:pPr>
              <w:ind w:left="450" w:hanging="425"/>
              <w:jc w:val="both"/>
            </w:pPr>
            <w:r>
              <w:t>4. Обеспечить ремонт туалетов, находящихся на улице.</w:t>
            </w:r>
          </w:p>
        </w:tc>
      </w:tr>
      <w:tr w:rsidR="00925774" w14:paraId="70F65029" w14:textId="77777777">
        <w:tc>
          <w:tcPr>
            <w:tcW w:w="2676" w:type="dxa"/>
            <w:shd w:val="clear" w:color="auto" w:fill="DEEAF6" w:themeFill="accent1" w:themeFillTint="33"/>
          </w:tcPr>
          <w:p w14:paraId="162CBE13" w14:textId="77777777" w:rsidR="00925774" w:rsidRDefault="00F54831">
            <w:pPr>
              <w:jc w:val="center"/>
            </w:pPr>
            <w:r>
              <w:t>Критерий 3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4D848BDC" w14:textId="77777777" w:rsidR="00925774" w:rsidRDefault="00F54831">
            <w:pPr>
              <w:jc w:val="center"/>
            </w:pPr>
            <w:r>
              <w:t>Доступность услуг для инвалидов</w:t>
            </w:r>
          </w:p>
        </w:tc>
      </w:tr>
      <w:tr w:rsidR="00925774" w14:paraId="14716588" w14:textId="77777777">
        <w:tc>
          <w:tcPr>
            <w:tcW w:w="2676" w:type="dxa"/>
            <w:vMerge w:val="restart"/>
            <w:shd w:val="clear" w:color="auto" w:fill="auto"/>
          </w:tcPr>
          <w:p w14:paraId="346E1B8C" w14:textId="77777777" w:rsidR="00925774" w:rsidRDefault="00F54831">
            <w:pPr>
              <w:jc w:val="both"/>
            </w:pPr>
            <w:r>
              <w:t>Показатель 3.1.</w:t>
            </w:r>
          </w:p>
        </w:tc>
        <w:tc>
          <w:tcPr>
            <w:tcW w:w="7099" w:type="dxa"/>
            <w:shd w:val="clear" w:color="auto" w:fill="auto"/>
          </w:tcPr>
          <w:p w14:paraId="7F239E00" w14:textId="77777777" w:rsidR="00925774" w:rsidRDefault="00F54831">
            <w:pPr>
              <w:jc w:val="both"/>
            </w:pPr>
            <w:r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</w:tr>
      <w:tr w:rsidR="00925774" w14:paraId="0D28082B" w14:textId="77777777">
        <w:tc>
          <w:tcPr>
            <w:tcW w:w="2676" w:type="dxa"/>
            <w:vMerge/>
            <w:shd w:val="clear" w:color="auto" w:fill="auto"/>
          </w:tcPr>
          <w:p w14:paraId="5D50CBE0" w14:textId="77777777" w:rsidR="00925774" w:rsidRDefault="00925774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7FAA366C" w14:textId="77777777" w:rsidR="00925774" w:rsidRDefault="00F54831" w:rsidP="00F54831">
            <w:pPr>
              <w:pStyle w:val="ae"/>
              <w:numPr>
                <w:ilvl w:val="0"/>
                <w:numId w:val="4"/>
              </w:numPr>
              <w:ind w:left="308"/>
              <w:jc w:val="both"/>
            </w:pPr>
            <w:r>
              <w:t>Обеспечить наличие выделенных стоянок для автотранспортных средств инвалидов:</w:t>
            </w:r>
          </w:p>
          <w:p w14:paraId="3FF6DC93" w14:textId="77777777" w:rsidR="00925774" w:rsidRDefault="00F54831" w:rsidP="00F54831">
            <w:pPr>
              <w:pStyle w:val="ae"/>
              <w:ind w:left="308"/>
              <w:jc w:val="both"/>
            </w:pPr>
            <w:r>
              <w:t>- нанести соответствующую разметку на дорожное покрытие стоянки</w:t>
            </w:r>
          </w:p>
          <w:p w14:paraId="7C78B94F" w14:textId="77777777" w:rsidR="00925774" w:rsidRDefault="00F54831" w:rsidP="00F54831">
            <w:pPr>
              <w:pStyle w:val="ae"/>
              <w:ind w:left="308"/>
              <w:jc w:val="both"/>
            </w:pPr>
            <w:r>
              <w:t>- разместить соответствующий знак стоянки для инвалидов</w:t>
            </w:r>
          </w:p>
          <w:p w14:paraId="3E69F799" w14:textId="77777777" w:rsidR="00925774" w:rsidRDefault="00F54831" w:rsidP="00F54831">
            <w:pPr>
              <w:pStyle w:val="ae"/>
              <w:ind w:left="308"/>
              <w:jc w:val="both"/>
            </w:pPr>
            <w:r>
              <w:t>- обеспечить свободное место стоянки для автотранспортных средств инвалидов на постоянной основе.</w:t>
            </w:r>
          </w:p>
          <w:p w14:paraId="024C71A4" w14:textId="77777777" w:rsidR="00925774" w:rsidRDefault="00F54831" w:rsidP="00F54831">
            <w:pPr>
              <w:numPr>
                <w:ilvl w:val="0"/>
                <w:numId w:val="4"/>
              </w:numPr>
              <w:ind w:left="308" w:hanging="283"/>
              <w:contextualSpacing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49B057E0" w14:textId="77777777" w:rsidR="00925774" w:rsidRDefault="00F54831" w:rsidP="00F54831">
            <w:pPr>
              <w:pStyle w:val="ae"/>
              <w:ind w:left="308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 (тростей, костылей)</w:t>
            </w:r>
          </w:p>
        </w:tc>
      </w:tr>
      <w:tr w:rsidR="00925774" w14:paraId="433E31C2" w14:textId="77777777">
        <w:tc>
          <w:tcPr>
            <w:tcW w:w="2676" w:type="dxa"/>
            <w:vMerge w:val="restart"/>
            <w:shd w:val="clear" w:color="auto" w:fill="auto"/>
          </w:tcPr>
          <w:p w14:paraId="53CE114B" w14:textId="77777777" w:rsidR="00925774" w:rsidRDefault="00F54831">
            <w:pPr>
              <w:jc w:val="both"/>
            </w:pPr>
            <w:r>
              <w:t>Показатель 3.2.</w:t>
            </w:r>
          </w:p>
        </w:tc>
        <w:tc>
          <w:tcPr>
            <w:tcW w:w="7099" w:type="dxa"/>
            <w:shd w:val="clear" w:color="auto" w:fill="auto"/>
          </w:tcPr>
          <w:p w14:paraId="237A4284" w14:textId="77777777" w:rsidR="00925774" w:rsidRDefault="00F54831">
            <w:pPr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14:paraId="24567462" w14:textId="77777777" w:rsidR="00925774" w:rsidRDefault="00F54831">
            <w:pPr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14:paraId="23BB9072" w14:textId="77777777" w:rsidR="00925774" w:rsidRDefault="00F54831">
            <w:pPr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DA12BC5" w14:textId="77777777" w:rsidR="00925774" w:rsidRDefault="00F54831">
            <w:pPr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14:paraId="5B1913E9" w14:textId="77777777" w:rsidR="00925774" w:rsidRDefault="00F54831">
            <w:pPr>
              <w:jc w:val="both"/>
            </w:pPr>
            <w:r>
              <w:t>- наличие альтернативной версии официального сайта организации в сети "Интернет" для инвалидов по зрению;</w:t>
            </w:r>
          </w:p>
          <w:p w14:paraId="6C1DA87C" w14:textId="77777777" w:rsidR="00925774" w:rsidRDefault="00F54831">
            <w:pPr>
              <w:jc w:val="both"/>
            </w:pPr>
            <w: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14:paraId="48D58AE4" w14:textId="77777777" w:rsidR="00925774" w:rsidRDefault="00F54831">
            <w:pPr>
              <w:jc w:val="both"/>
            </w:pPr>
            <w:r>
              <w:t>- наличие возможности предоставления услуги в дистанционном режиме или на дому</w:t>
            </w:r>
          </w:p>
        </w:tc>
      </w:tr>
      <w:tr w:rsidR="00925774" w14:paraId="50A4038A" w14:textId="77777777">
        <w:tc>
          <w:tcPr>
            <w:tcW w:w="2676" w:type="dxa"/>
            <w:vMerge/>
            <w:shd w:val="clear" w:color="auto" w:fill="auto"/>
          </w:tcPr>
          <w:p w14:paraId="4407ACA7" w14:textId="77777777" w:rsidR="00925774" w:rsidRDefault="00925774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75775FF3" w14:textId="77777777" w:rsidR="00925774" w:rsidRDefault="00F54831" w:rsidP="00F54831">
            <w:pPr>
              <w:pStyle w:val="ae"/>
              <w:numPr>
                <w:ilvl w:val="0"/>
                <w:numId w:val="5"/>
              </w:numPr>
              <w:ind w:left="308"/>
              <w:jc w:val="both"/>
            </w:pPr>
            <w:r>
              <w:t xml:space="preserve">Обеспечить аппаратное дублирование для инвалидов по слуху </w:t>
            </w:r>
            <w:r>
              <w:lastRenderedPageBreak/>
              <w:t>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схемы).</w:t>
            </w:r>
          </w:p>
          <w:p w14:paraId="7FA8F2F2" w14:textId="77777777" w:rsidR="00925774" w:rsidRDefault="00F54831" w:rsidP="00F54831">
            <w:pPr>
              <w:pStyle w:val="ae"/>
              <w:numPr>
                <w:ilvl w:val="0"/>
                <w:numId w:val="5"/>
              </w:numPr>
              <w:ind w:left="308"/>
              <w:jc w:val="both"/>
            </w:pPr>
            <w:r>
              <w:t>Обеспечить дублирование надписей, знаков и иной текстовой и графической информации, выполненными рельефно-точечным шрифтом Брайля.</w:t>
            </w:r>
          </w:p>
          <w:p w14:paraId="0F7D2FEB" w14:textId="77777777" w:rsidR="00925774" w:rsidRDefault="00F54831" w:rsidP="00F54831">
            <w:pPr>
              <w:pStyle w:val="ae"/>
              <w:numPr>
                <w:ilvl w:val="0"/>
                <w:numId w:val="5"/>
              </w:numPr>
              <w:ind w:left="308"/>
              <w:jc w:val="both"/>
            </w:pPr>
            <w:r>
              <w:t>Обеспечить возможность предоставления инвалидам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партнерства.</w:t>
            </w:r>
          </w:p>
        </w:tc>
      </w:tr>
      <w:tr w:rsidR="00925774" w14:paraId="6835883F" w14:textId="77777777">
        <w:tc>
          <w:tcPr>
            <w:tcW w:w="2676" w:type="dxa"/>
            <w:vMerge w:val="restart"/>
            <w:shd w:val="clear" w:color="auto" w:fill="auto"/>
          </w:tcPr>
          <w:p w14:paraId="3F28B5AD" w14:textId="77777777" w:rsidR="00925774" w:rsidRDefault="00F54831">
            <w:pPr>
              <w:jc w:val="both"/>
            </w:pPr>
            <w:r>
              <w:lastRenderedPageBreak/>
              <w:t>Показатель 3.3.</w:t>
            </w:r>
          </w:p>
        </w:tc>
        <w:tc>
          <w:tcPr>
            <w:tcW w:w="7099" w:type="dxa"/>
            <w:shd w:val="clear" w:color="auto" w:fill="auto"/>
          </w:tcPr>
          <w:p w14:paraId="17CE80F2" w14:textId="77777777" w:rsidR="00925774" w:rsidRDefault="00F54831">
            <w:pPr>
              <w:jc w:val="both"/>
            </w:pPr>
            <w:r>
              <w:t>Доля получателей услуг, удовлетворенных доступностью услуг для инвалидов</w:t>
            </w:r>
          </w:p>
        </w:tc>
      </w:tr>
      <w:tr w:rsidR="00925774" w14:paraId="08E14D5E" w14:textId="77777777">
        <w:tc>
          <w:tcPr>
            <w:tcW w:w="2676" w:type="dxa"/>
            <w:vMerge/>
            <w:shd w:val="clear" w:color="auto" w:fill="auto"/>
          </w:tcPr>
          <w:p w14:paraId="68B8CBE6" w14:textId="77777777" w:rsidR="00925774" w:rsidRDefault="00925774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14732FCB" w14:textId="77777777" w:rsidR="00925774" w:rsidRDefault="00F54831">
            <w:pPr>
              <w:jc w:val="both"/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21FD2E2E" w14:textId="77777777" w:rsidR="00925774" w:rsidRDefault="00F54831">
            <w:pPr>
              <w:jc w:val="both"/>
            </w:pPr>
            <w:r>
              <w:t>Рекомендации отсутствуют</w:t>
            </w:r>
          </w:p>
        </w:tc>
      </w:tr>
      <w:tr w:rsidR="00925774" w14:paraId="14F1D04F" w14:textId="77777777">
        <w:tc>
          <w:tcPr>
            <w:tcW w:w="2676" w:type="dxa"/>
            <w:shd w:val="clear" w:color="auto" w:fill="DEEAF6" w:themeFill="accent1" w:themeFillTint="33"/>
          </w:tcPr>
          <w:p w14:paraId="4661BA88" w14:textId="77777777" w:rsidR="00925774" w:rsidRDefault="00F54831">
            <w:pPr>
              <w:jc w:val="center"/>
            </w:pPr>
            <w:r>
              <w:t>Критерий 4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2E3DD3C4" w14:textId="77777777" w:rsidR="00925774" w:rsidRDefault="00F54831">
            <w:pPr>
              <w:jc w:val="center"/>
            </w:pPr>
            <w:r>
              <w:t>Доброжелательность, вежливость работников организации (с учетом категории организации культуры)</w:t>
            </w:r>
          </w:p>
        </w:tc>
      </w:tr>
      <w:tr w:rsidR="00925774" w14:paraId="29DFF931" w14:textId="77777777">
        <w:tc>
          <w:tcPr>
            <w:tcW w:w="2676" w:type="dxa"/>
            <w:shd w:val="clear" w:color="auto" w:fill="auto"/>
          </w:tcPr>
          <w:p w14:paraId="1BD132D4" w14:textId="77777777" w:rsidR="00925774" w:rsidRDefault="00925774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4397B779" w14:textId="77777777" w:rsidR="00925774" w:rsidRDefault="00F54831">
            <w:pPr>
              <w:jc w:val="both"/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2E66693C" w14:textId="77777777" w:rsidR="00925774" w:rsidRDefault="00F54831">
            <w:pPr>
              <w:jc w:val="both"/>
            </w:pPr>
            <w:r>
              <w:t>Рекомендации отсутствуют</w:t>
            </w:r>
          </w:p>
        </w:tc>
      </w:tr>
      <w:tr w:rsidR="00925774" w14:paraId="6B8F1974" w14:textId="77777777">
        <w:tc>
          <w:tcPr>
            <w:tcW w:w="2676" w:type="dxa"/>
            <w:shd w:val="clear" w:color="auto" w:fill="DEEAF6" w:themeFill="accent1" w:themeFillTint="33"/>
          </w:tcPr>
          <w:p w14:paraId="106790D7" w14:textId="77777777" w:rsidR="00925774" w:rsidRDefault="00F54831">
            <w:pPr>
              <w:jc w:val="center"/>
            </w:pPr>
            <w:r>
              <w:t>Критерий 5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702C38E2" w14:textId="77777777" w:rsidR="00925774" w:rsidRDefault="00F54831">
            <w:pPr>
              <w:jc w:val="center"/>
            </w:pPr>
            <w:r>
              <w:t>Удовлетворенность условиями оказания услуг (с учетом категории организации культуры)</w:t>
            </w:r>
          </w:p>
        </w:tc>
      </w:tr>
      <w:tr w:rsidR="00925774" w14:paraId="660F3EFE" w14:textId="77777777">
        <w:tc>
          <w:tcPr>
            <w:tcW w:w="2676" w:type="dxa"/>
            <w:shd w:val="clear" w:color="auto" w:fill="auto"/>
          </w:tcPr>
          <w:p w14:paraId="6BD071F2" w14:textId="77777777" w:rsidR="00925774" w:rsidRDefault="00925774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36B04607" w14:textId="77777777" w:rsidR="00925774" w:rsidRDefault="00F54831">
            <w:pPr>
              <w:jc w:val="both"/>
            </w:pPr>
            <w:r>
              <w:rPr>
                <w:u w:val="single"/>
              </w:rPr>
              <w:t>Рекомендации респондентов:</w:t>
            </w:r>
          </w:p>
          <w:p w14:paraId="237B50CA" w14:textId="77777777" w:rsidR="00925774" w:rsidRDefault="00F54831">
            <w:pPr>
              <w:jc w:val="both"/>
            </w:pPr>
            <w:r>
              <w:t>1. Изыскать возможность капитального ремонта здания;</w:t>
            </w:r>
          </w:p>
          <w:p w14:paraId="4CD70B7B" w14:textId="77777777" w:rsidR="00925774" w:rsidRDefault="00F54831">
            <w:pPr>
              <w:jc w:val="both"/>
            </w:pPr>
            <w:r>
              <w:t>2. Необходимо организовать больше детских кружков;</w:t>
            </w:r>
          </w:p>
          <w:p w14:paraId="70E04D11" w14:textId="77777777" w:rsidR="00925774" w:rsidRDefault="00F54831">
            <w:pPr>
              <w:jc w:val="both"/>
            </w:pPr>
            <w:r>
              <w:t>3. Необходимо обновление материальной базы учреждения (музыкальные инструменты, сценический инвентарь и оборудование);</w:t>
            </w:r>
          </w:p>
          <w:p w14:paraId="67F967C8" w14:textId="77777777" w:rsidR="00925774" w:rsidRDefault="00F54831">
            <w:pPr>
              <w:jc w:val="both"/>
            </w:pPr>
            <w:r>
              <w:t>4. Организовать больше досуговых мероприятий для молодежи.</w:t>
            </w:r>
          </w:p>
        </w:tc>
      </w:tr>
    </w:tbl>
    <w:p w14:paraId="71F08038" w14:textId="77777777" w:rsidR="00925774" w:rsidRDefault="00925774">
      <w:pPr>
        <w:pStyle w:val="ae"/>
        <w:ind w:left="709"/>
        <w:jc w:val="both"/>
        <w:rPr>
          <w:sz w:val="28"/>
          <w:szCs w:val="28"/>
        </w:rPr>
      </w:pPr>
    </w:p>
    <w:p w14:paraId="3273DE67" w14:textId="05E78C00" w:rsidR="00925774" w:rsidRDefault="00F54831">
      <w:pPr>
        <w:ind w:firstLine="709"/>
        <w:jc w:val="both"/>
      </w:pPr>
      <w:r>
        <w:rPr>
          <w:sz w:val="28"/>
          <w:szCs w:val="28"/>
          <w:u w:val="single"/>
        </w:rPr>
        <w:t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</w:rPr>
        <w:t>МКУ «Тищенский сельский Дом культуры»,</w:t>
      </w:r>
      <w:r>
        <w:rPr>
          <w:sz w:val="28"/>
          <w:szCs w:val="28"/>
        </w:rPr>
        <w:t xml:space="preserve"> составило </w:t>
      </w:r>
      <w:r w:rsidR="00A848E4">
        <w:rPr>
          <w:b/>
          <w:color w:val="000000" w:themeColor="text1"/>
          <w:sz w:val="28"/>
          <w:szCs w:val="28"/>
        </w:rPr>
        <w:t>88,14</w:t>
      </w:r>
      <w:r>
        <w:rPr>
          <w:b/>
          <w:color w:val="000000" w:themeColor="text1"/>
          <w:sz w:val="28"/>
          <w:szCs w:val="28"/>
        </w:rPr>
        <w:t xml:space="preserve"> балла</w:t>
      </w:r>
      <w:r>
        <w:rPr>
          <w:sz w:val="28"/>
          <w:szCs w:val="28"/>
        </w:rPr>
        <w:t>. Детализация показателей общих критериев, участвующих в формировании интегрального значения приведена в Приложении №1.</w:t>
      </w:r>
    </w:p>
    <w:p w14:paraId="2227EB37" w14:textId="77777777" w:rsidR="00925774" w:rsidRDefault="00925774">
      <w:pPr>
        <w:rPr>
          <w:sz w:val="28"/>
          <w:szCs w:val="28"/>
        </w:rPr>
      </w:pPr>
    </w:p>
    <w:p w14:paraId="70774FA1" w14:textId="77777777" w:rsidR="00925774" w:rsidRDefault="00F54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полученные по итогам реализации дистанционного и очного этапов сбора и обобщения информации о качестве условий оказания услуг в соответствии с показателями, характеризующими общие критерии оценки качества условий оказания услуг организациями культуры, в отношении которых проводится независимая оценка, подлежат передаче в Общественный совет по проведению независимой оценки качества условий оказания услуг организациями культуры при министерстве культуры Ставропольского края для принятия решения о присвоении рейтинга организации, формирования плана мероприятий по устранению недостатков, выявленных в ходе проведения независимой оценки, и улучшению качества условий оказания услуг организацией культуры.</w:t>
      </w:r>
    </w:p>
    <w:p w14:paraId="2C36CB9A" w14:textId="77777777" w:rsidR="00925774" w:rsidRDefault="00925774">
      <w:pPr>
        <w:ind w:firstLine="709"/>
        <w:jc w:val="both"/>
        <w:rPr>
          <w:b/>
          <w:sz w:val="28"/>
          <w:szCs w:val="28"/>
        </w:rPr>
      </w:pPr>
    </w:p>
    <w:p w14:paraId="4D2D8D04" w14:textId="77777777" w:rsidR="00925774" w:rsidRDefault="00925774">
      <w:pPr>
        <w:ind w:firstLine="709"/>
        <w:jc w:val="both"/>
        <w:rPr>
          <w:b/>
          <w:sz w:val="28"/>
          <w:szCs w:val="28"/>
        </w:rPr>
      </w:pPr>
    </w:p>
    <w:p w14:paraId="6787A386" w14:textId="77777777" w:rsidR="00925774" w:rsidRDefault="00F54831">
      <w:pPr>
        <w:tabs>
          <w:tab w:val="left" w:pos="709"/>
          <w:tab w:val="left" w:pos="1134"/>
          <w:tab w:val="left" w:pos="1560"/>
        </w:tabs>
        <w:ind w:left="33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  <w:t>Е.С. Квасова</w:t>
      </w:r>
    </w:p>
    <w:p w14:paraId="6654CD8D" w14:textId="77777777" w:rsidR="00925774" w:rsidRDefault="00925774">
      <w:pPr>
        <w:rPr>
          <w:sz w:val="28"/>
          <w:szCs w:val="28"/>
        </w:rPr>
      </w:pPr>
    </w:p>
    <w:sectPr w:rsidR="00925774">
      <w:headerReference w:type="default" r:id="rId9"/>
      <w:pgSz w:w="11906" w:h="16838"/>
      <w:pgMar w:top="1135" w:right="566" w:bottom="993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D330" w14:textId="77777777" w:rsidR="001B65C1" w:rsidRDefault="001B65C1">
      <w:r>
        <w:separator/>
      </w:r>
    </w:p>
  </w:endnote>
  <w:endnote w:type="continuationSeparator" w:id="0">
    <w:p w14:paraId="50FF2CF8" w14:textId="77777777" w:rsidR="001B65C1" w:rsidRDefault="001B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1801" w14:textId="77777777" w:rsidR="001B65C1" w:rsidRDefault="001B65C1">
      <w:r>
        <w:separator/>
      </w:r>
    </w:p>
  </w:footnote>
  <w:footnote w:type="continuationSeparator" w:id="0">
    <w:p w14:paraId="36D7A772" w14:textId="77777777" w:rsidR="001B65C1" w:rsidRDefault="001B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49990"/>
      <w:docPartObj>
        <w:docPartGallery w:val="Page Numbers (Top of Page)"/>
        <w:docPartUnique/>
      </w:docPartObj>
    </w:sdtPr>
    <w:sdtEndPr/>
    <w:sdtContent>
      <w:p w14:paraId="5B128011" w14:textId="77777777" w:rsidR="00925774" w:rsidRDefault="00F54831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6FC7E590" w14:textId="77777777" w:rsidR="00925774" w:rsidRDefault="00F54831">
    <w:pPr>
      <w:pStyle w:val="ac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D99"/>
    <w:multiLevelType w:val="multilevel"/>
    <w:tmpl w:val="EC52C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4F4377"/>
    <w:multiLevelType w:val="multilevel"/>
    <w:tmpl w:val="C0285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DE33D1"/>
    <w:multiLevelType w:val="multilevel"/>
    <w:tmpl w:val="2DE4C94A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850C37"/>
    <w:multiLevelType w:val="multilevel"/>
    <w:tmpl w:val="B35A1C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E02E44"/>
    <w:multiLevelType w:val="multilevel"/>
    <w:tmpl w:val="4D2AB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561291D"/>
    <w:multiLevelType w:val="multilevel"/>
    <w:tmpl w:val="1250F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774"/>
    <w:rsid w:val="001B65C1"/>
    <w:rsid w:val="008E795E"/>
    <w:rsid w:val="00925774"/>
    <w:rsid w:val="00A848E4"/>
    <w:rsid w:val="00F5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A7C0"/>
  <w15:docId w15:val="{C6B22031-497D-4507-A02E-28DF9759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B31BA"/>
  </w:style>
  <w:style w:type="character" w:customStyle="1" w:styleId="a4">
    <w:name w:val="Нижний колонтитул Знак"/>
    <w:basedOn w:val="a0"/>
    <w:uiPriority w:val="99"/>
    <w:qFormat/>
    <w:rsid w:val="008B31BA"/>
  </w:style>
  <w:style w:type="character" w:customStyle="1" w:styleId="-">
    <w:name w:val="Интернет-ссылка"/>
    <w:basedOn w:val="a0"/>
    <w:uiPriority w:val="99"/>
    <w:unhideWhenUsed/>
    <w:rsid w:val="00EB4910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qFormat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Основной шрифт абзаца5"/>
    <w:qFormat/>
    <w:rsid w:val="00066F2C"/>
    <w:rPr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ConsPlusNormal">
    <w:name w:val="ConsPlusNormal"/>
    <w:qFormat/>
    <w:rsid w:val="001045A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tabs>
        <w:tab w:val="left" w:pos="312"/>
      </w:tabs>
      <w:spacing w:before="240" w:after="60"/>
      <w:ind w:left="142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F97998"/>
    <w:rPr>
      <w:rFonts w:ascii="Tahoma" w:hAnsi="Tahoma" w:cs="Tahoma"/>
      <w:sz w:val="16"/>
      <w:szCs w:val="16"/>
    </w:rPr>
  </w:style>
  <w:style w:type="numbering" w:customStyle="1" w:styleId="61">
    <w:name w:val="Стиль61"/>
    <w:uiPriority w:val="99"/>
    <w:qFormat/>
    <w:rsid w:val="00F06582"/>
  </w:style>
  <w:style w:type="table" w:styleId="af0">
    <w:name w:val="Table Grid"/>
    <w:basedOn w:val="a1"/>
    <w:uiPriority w:val="39"/>
    <w:rsid w:val="00D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6084-434B-4A27-9A5C-9884DA33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Ekaterina Kvasova</cp:lastModifiedBy>
  <cp:revision>16</cp:revision>
  <cp:lastPrinted>2019-11-09T16:45:00Z</cp:lastPrinted>
  <dcterms:created xsi:type="dcterms:W3CDTF">2021-10-26T12:16:00Z</dcterms:created>
  <dcterms:modified xsi:type="dcterms:W3CDTF">2022-09-12T11:16:00Z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